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7.png" ContentType="image/png"/>
  <Override PartName="/word/media/rId66.png" ContentType="image/png"/>
  <Override PartName="/word/media/rId51.png" ContentType="image/png"/>
  <Override PartName="/word/media/rId39.png" ContentType="image/png"/>
  <Override PartName="/word/media/rId72.png" ContentType="image/png"/>
  <Override PartName="/word/media/rId32.png" ContentType="image/png"/>
  <Override PartName="/word/media/rId56.png" ContentType="image/png"/>
  <Override PartName="/word/media/rId6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from tropical to arctic zones, with climate scenarios forecasting range expansions of this picocyanobacteria into new photic regimes. We found that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of 4.5 d</w:t>
      </w:r>
      <w:r>
        <w:rPr>
          <w:vertAlign w:val="superscript"/>
        </w:rPr>
        <w:t xml:space="preserve">−1</w:t>
      </w:r>
      <w:r>
        <w:t xml:space="preserve">. PE-rich strains demonstrated wider ability to modulate light capture capacity, whereas PC-rich strains showed less change in light capture across increasing cumulative diel photon dose. We found the coastal picocyanobacteria show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w:t>
      </w:r>
      <w:r>
        <w:t xml:space="preserve"> </w:t>
      </w:r>
      <w:r>
        <w:rPr>
          <w:iCs/>
          <w:i/>
        </w:rPr>
        <w:t xml:space="preserve">a</w:t>
      </w:r>
      <w:r>
        <w:t xml:space="preserve">, particularly during pre-stationary growth phase. Within each strain, µ showed consistent saturating responses to increasing cumulative diel PSII electron flux. As photoperiod opportunists coastal picocyanobacteria show potential to expand into longer photic regimes at warming higher latitudes.</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6"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4457699"/>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2.png" id="34" name="Picture"/>
                    <pic:cNvPicPr>
                      <a:picLocks noChangeArrowheads="1" noChangeAspect="1"/>
                    </pic:cNvPicPr>
                  </pic:nvPicPr>
                  <pic:blipFill>
                    <a:blip r:embed="rId32"/>
                    <a:stretch>
                      <a:fillRect/>
                    </a:stretch>
                  </pic:blipFill>
                  <pic:spPr bwMode="auto">
                    <a:xfrm>
                      <a:off x="0" y="0"/>
                      <a:ext cx="5943600" cy="4457699"/>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5"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p>
      <w:pPr>
        <w:pStyle w:val="BodyText"/>
      </w:pPr>
    </w:p>
    <w:bookmarkEnd w:id="45"/>
    <w:bookmarkEnd w:id="46"/>
    <w:bookmarkStart w:id="71" w:name="results"/>
    <w:p>
      <w:pPr>
        <w:pStyle w:val="Heading1"/>
      </w:pPr>
      <w:r>
        <w:t xml:space="preserve">Results</w:t>
      </w:r>
    </w:p>
    <w:bookmarkStart w:id="55"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5"/>
    <w:bookmarkStart w:id="60"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 6: Changes in PUR/PAR ratio vs. cumulative diel PAR (µmol photons m−2d−1). PUR/PAR ratio was estimated for two PC-rich cultures (056; dark green, 077; light green) and two PE-rich cultures (048; light red, 127; dark red) of Synechococcus sp.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PURPARRatio"/>
      <w:bookmarkEnd w:id="59"/>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0"/>
    <w:bookmarkStart w:id="65"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2" name="Picture"/>
            <a:graphic>
              <a:graphicData uri="http://schemas.openxmlformats.org/drawingml/2006/picture">
                <pic:pic>
                  <pic:nvPicPr>
                    <pic:cNvPr descr="../Output/Figures/Fig_Sigma590Merge.png" id="63"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4" w:name="fig:Sigma590"/>
      <w:bookmarkEnd w:id="64"/>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5"/>
    <w:bookmarkStart w:id="70"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7" name="Picture"/>
            <a:graphic>
              <a:graphicData uri="http://schemas.openxmlformats.org/drawingml/2006/picture">
                <pic:pic>
                  <pic:nvPicPr>
                    <pic:cNvPr descr="../Output/Figures/Fig_GrowthRate_JVPSII_Photoperiod_Chla.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GrowthRateJVPSII"/>
      <w:bookmarkEnd w:id="69"/>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0"/>
    <w:bookmarkEnd w:id="71"/>
    <w:bookmarkStart w:id="79" w:name="discussion"/>
    <w:p>
      <w:pPr>
        <w:pStyle w:val="Heading1"/>
      </w:pPr>
      <w:r>
        <w:t xml:space="preserve">Discussion</w:t>
      </w:r>
    </w:p>
    <w:bookmarkStart w:id="76"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 [</w:t>
      </w:r>
      <w:r>
        <w:t xml:space="preserve">Jacob-Lopes et al. (2009)</w:t>
      </w:r>
      <w:r>
        <w:t xml:space="preserve">;</w:t>
      </w:r>
      <w:r>
        <w:t xml:space="preserve"> </w:t>
      </w:r>
      <w:r>
        <w:t xml:space="preserve">(Klepacz-Smółka et al. 2020)</w:t>
      </w:r>
      <w:r>
        <w:t xml:space="preserve"> </w:t>
      </w:r>
      <w:r>
        <w:t xml:space="preserve">Yet, 24 h photoperiod also exacerbated eventual photoinhibition under excess cumulative diel PUR and PAR. 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of the applied photoregime (Fig. S4, Fig.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 S4);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 S4),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3" name="Picture"/>
            <a:graphic>
              <a:graphicData uri="http://schemas.openxmlformats.org/drawingml/2006/picture">
                <pic:pic>
                  <pic:nvPicPr>
                    <pic:cNvPr descr="../Output/Figures/Fig_MapCombo.png" id="74" name="Picture"/>
                    <pic:cNvPicPr>
                      <a:picLocks noChangeArrowheads="1" noChangeAspect="1"/>
                    </pic:cNvPicPr>
                  </pic:nvPicPr>
                  <pic:blipFill>
                    <a:blip r:embed="rId7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5" w:name="fig:MapCombo"/>
      <w:bookmarkEnd w:id="75"/>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6"/>
    <w:bookmarkStart w:id="77" w:name="X83d8d8a9e83d2bb24cf0c8c182cea740ec0cbe6"/>
    <w:p>
      <w:pPr>
        <w:pStyle w:val="Heading2"/>
      </w:pPr>
      <w:r>
        <w:t xml:space="preserve">Photic regimes and growth phase both influence cellular absorbance and light use</w:t>
      </w:r>
    </w:p>
    <w:p>
      <w:pPr>
        <w:pStyle w:val="FirstParagraph"/>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S10),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phylogeny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in Supporting Information).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7"/>
    <w:bookmarkStart w:id="78"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8"/>
    <w:bookmarkEnd w:id="79"/>
    <w:bookmarkStart w:id="80"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0"/>
    <w:bookmarkStart w:id="84"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1">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2"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2"/>
    <w:bookmarkStart w:id="83" w:name="conflict-of-interest"/>
    <w:p>
      <w:pPr>
        <w:pStyle w:val="Heading2"/>
      </w:pPr>
      <w:r>
        <w:t xml:space="preserve">Conflict of Interest</w:t>
      </w:r>
    </w:p>
    <w:p>
      <w:pPr>
        <w:pStyle w:val="FirstParagraph"/>
      </w:pPr>
      <w:r>
        <w:t xml:space="preserve">None declared.</w:t>
      </w:r>
    </w:p>
    <w:p>
      <w:pPr>
        <w:pStyle w:val="BodyText"/>
      </w:pPr>
    </w:p>
    <w:bookmarkEnd w:id="83"/>
    <w:bookmarkEnd w:id="84"/>
    <w:bookmarkStart w:id="222" w:name="references"/>
    <w:p>
      <w:pPr>
        <w:pStyle w:val="Heading1"/>
      </w:pPr>
      <w:r>
        <w:t xml:space="preserve">References</w:t>
      </w:r>
    </w:p>
    <w:bookmarkStart w:id="221" w:name="refs"/>
    <w:bookmarkStart w:id="86"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5">
        <w:r>
          <w:rPr>
            <w:rStyle w:val="Hyperlink"/>
          </w:rPr>
          <w:t xml:space="preserve">10.1111/1462-2920.16384</w:t>
        </w:r>
      </w:hyperlink>
    </w:p>
    <w:bookmarkEnd w:id="86"/>
    <w:bookmarkStart w:id="8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7">
        <w:r>
          <w:rPr>
            <w:rStyle w:val="Hyperlink"/>
          </w:rPr>
          <w:t xml:space="preserve">10.1146/annurev-marine-010213-135103</w:t>
        </w:r>
      </w:hyperlink>
    </w:p>
    <w:bookmarkEnd w:id="88"/>
    <w:bookmarkStart w:id="90" w:name="X78a690ddcffed75740a96a2fca4b8e9a29d3a28"/>
    <w:p>
      <w:pPr>
        <w:pStyle w:val="Bibliography"/>
      </w:pPr>
      <w:r>
        <w:t xml:space="preserve">Beale, S. I. 1994.</w:t>
      </w:r>
      <w:r>
        <w:t xml:space="preserve"> </w:t>
      </w:r>
      <w:hyperlink r:id="rId89">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0"/>
    <w:bookmarkStart w:id="9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1">
        <w:r>
          <w:rPr>
            <w:rStyle w:val="Hyperlink"/>
          </w:rPr>
          <w:t xml:space="preserve">10.1038/nature05317</w:t>
        </w:r>
      </w:hyperlink>
    </w:p>
    <w:bookmarkEnd w:id="92"/>
    <w:bookmarkStart w:id="94"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3">
        <w:r>
          <w:rPr>
            <w:rStyle w:val="Hyperlink"/>
          </w:rPr>
          <w:t xml:space="preserve">10.1021/bi00795a022</w:t>
        </w:r>
      </w:hyperlink>
    </w:p>
    <w:bookmarkEnd w:id="94"/>
    <w:bookmarkStart w:id="96"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5">
        <w:r>
          <w:rPr>
            <w:rStyle w:val="Hyperlink"/>
          </w:rPr>
          <w:t xml:space="preserve">10.1083/jcb.58.2.419</w:t>
        </w:r>
      </w:hyperlink>
    </w:p>
    <w:bookmarkEnd w:id="96"/>
    <w:bookmarkStart w:id="98" w:name="X186911c6462d2586c8a86d6496d976a68e538eb"/>
    <w:p>
      <w:pPr>
        <w:pStyle w:val="Bibliography"/>
      </w:pPr>
      <w:r>
        <w:t xml:space="preserve">Berman-Frank, I., D. Campbell, A. Ciotti, and others. 2023.</w:t>
      </w:r>
      <w:r>
        <w:t xml:space="preserve"> </w:t>
      </w:r>
      <w:hyperlink r:id="rId97">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8"/>
    <w:bookmarkStart w:id="100"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9">
        <w:r>
          <w:rPr>
            <w:rStyle w:val="Hyperlink"/>
          </w:rPr>
          <w:t xml:space="preserve">10.3389/fmars.2019.00319</w:t>
        </w:r>
      </w:hyperlink>
    </w:p>
    <w:bookmarkEnd w:id="100"/>
    <w:bookmarkStart w:id="102"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1">
        <w:r>
          <w:rPr>
            <w:rStyle w:val="Hyperlink"/>
          </w:rPr>
          <w:t xml:space="preserve">10.1016/0022-0981(81)90045-9</w:t>
        </w:r>
      </w:hyperlink>
    </w:p>
    <w:bookmarkEnd w:id="102"/>
    <w:bookmarkStart w:id="104" w:name="X30cea3580c16855f9d89aaa53f7c7533fb5925c"/>
    <w:p>
      <w:pPr>
        <w:pStyle w:val="Bibliography"/>
      </w:pPr>
      <w:r>
        <w:t xml:space="preserve">Chakdar, H., and S. Pabbi. 2016.</w:t>
      </w:r>
      <w:r>
        <w:t xml:space="preserve"> </w:t>
      </w:r>
      <w:hyperlink r:id="rId103">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4"/>
    <w:bookmarkStart w:id="106"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5">
        <w:r>
          <w:rPr>
            <w:rStyle w:val="Hyperlink"/>
          </w:rPr>
          <w:t xml:space="preserve">10.4319/lo.1999.44.1.0052</w:t>
        </w:r>
      </w:hyperlink>
    </w:p>
    <w:bookmarkEnd w:id="106"/>
    <w:bookmarkStart w:id="107" w:name="ref-connorInvestigatingUseFast2018"/>
    <w:p>
      <w:pPr>
        <w:pStyle w:val="Bibliography"/>
      </w:pPr>
      <w:r>
        <w:t xml:space="preserve">Connor, D. 2018. Investigating the use of fast repetition rate fluorometry in understanding algal physiology in optically complex oceans.</w:t>
      </w:r>
    </w:p>
    <w:bookmarkEnd w:id="107"/>
    <w:bookmarkStart w:id="10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8"/>
    <w:bookmarkStart w:id="11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9">
        <w:r>
          <w:rPr>
            <w:rStyle w:val="Hyperlink"/>
          </w:rPr>
          <w:t xml:space="preserve">10.1093/plankt/6.1.67</w:t>
        </w:r>
      </w:hyperlink>
    </w:p>
    <w:bookmarkEnd w:id="110"/>
    <w:bookmarkStart w:id="11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1"/>
    <w:bookmarkStart w:id="113"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2">
        <w:r>
          <w:rPr>
            <w:rStyle w:val="Hyperlink"/>
          </w:rPr>
          <w:t xml:space="preserve">10.1126/science.281.5374.237</w:t>
        </w:r>
      </w:hyperlink>
    </w:p>
    <w:bookmarkEnd w:id="113"/>
    <w:bookmarkStart w:id="115"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4">
        <w:r>
          <w:rPr>
            <w:rStyle w:val="Hyperlink"/>
          </w:rPr>
          <w:t xml:space="preserve">10.1073/pnas.1307701110</w:t>
        </w:r>
      </w:hyperlink>
    </w:p>
    <w:bookmarkEnd w:id="115"/>
    <w:bookmarkStart w:id="117"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6">
        <w:r>
          <w:rPr>
            <w:rStyle w:val="Hyperlink"/>
          </w:rPr>
          <w:t xml:space="preserve">10.3354/meps052099</w:t>
        </w:r>
      </w:hyperlink>
    </w:p>
    <w:bookmarkEnd w:id="117"/>
    <w:bookmarkStart w:id="119" w:name="Xd7d6b0bcb60aabcb149933a8690177800745aff"/>
    <w:p>
      <w:pPr>
        <w:pStyle w:val="Bibliography"/>
      </w:pPr>
      <w:r>
        <w:t xml:space="preserve">Guillard, R. R. L. 1975.</w:t>
      </w:r>
      <w:r>
        <w:t xml:space="preserve"> </w:t>
      </w:r>
      <w:hyperlink r:id="rId118">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9"/>
    <w:bookmarkStart w:id="120"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0"/>
    <w:bookmarkStart w:id="121"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1"/>
    <w:bookmarkStart w:id="123"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2">
        <w:r>
          <w:rPr>
            <w:rStyle w:val="Hyperlink"/>
          </w:rPr>
          <w:t xml:space="preserve">10.1038/ismej.2008.118</w:t>
        </w:r>
      </w:hyperlink>
    </w:p>
    <w:bookmarkEnd w:id="123"/>
    <w:bookmarkStart w:id="125"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4">
        <w:r>
          <w:rPr>
            <w:rStyle w:val="Hyperlink"/>
          </w:rPr>
          <w:t xml:space="preserve">10.5194/bg-8-311-2011</w:t>
        </w:r>
      </w:hyperlink>
    </w:p>
    <w:bookmarkEnd w:id="125"/>
    <w:bookmarkStart w:id="127"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6">
        <w:r>
          <w:rPr>
            <w:rStyle w:val="Hyperlink"/>
          </w:rPr>
          <w:t xml:space="preserve">10.1093/molbev/msx281</w:t>
        </w:r>
      </w:hyperlink>
    </w:p>
    <w:bookmarkEnd w:id="127"/>
    <w:bookmarkStart w:id="129"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8">
        <w:r>
          <w:rPr>
            <w:rStyle w:val="Hyperlink"/>
          </w:rPr>
          <w:t xml:space="preserve">10.1038/s41559-020-01330-x</w:t>
        </w:r>
      </w:hyperlink>
    </w:p>
    <w:bookmarkEnd w:id="129"/>
    <w:bookmarkStart w:id="131"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0">
        <w:r>
          <w:rPr>
            <w:rStyle w:val="Hyperlink"/>
          </w:rPr>
          <w:t xml:space="preserve">10.1086/338511</w:t>
        </w:r>
      </w:hyperlink>
    </w:p>
    <w:bookmarkEnd w:id="131"/>
    <w:bookmarkStart w:id="13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2">
        <w:r>
          <w:rPr>
            <w:rStyle w:val="Hyperlink"/>
          </w:rPr>
          <w:t xml:space="preserve">10.1016/j.cep.2008.04.007</w:t>
        </w:r>
      </w:hyperlink>
    </w:p>
    <w:bookmarkEnd w:id="133"/>
    <w:bookmarkStart w:id="13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4">
        <w:r>
          <w:rPr>
            <w:rStyle w:val="Hyperlink"/>
          </w:rPr>
          <w:t xml:space="preserve">10.1016/j.jphotobiol.2005.10.002</w:t>
        </w:r>
      </w:hyperlink>
    </w:p>
    <w:bookmarkEnd w:id="135"/>
    <w:bookmarkStart w:id="137"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6">
        <w:r>
          <w:rPr>
            <w:rStyle w:val="Hyperlink"/>
          </w:rPr>
          <w:t xml:space="preserve">10.1038/nmeth.4285</w:t>
        </w:r>
      </w:hyperlink>
    </w:p>
    <w:bookmarkEnd w:id="137"/>
    <w:bookmarkStart w:id="139"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8">
        <w:r>
          <w:rPr>
            <w:rStyle w:val="Hyperlink"/>
          </w:rPr>
          <w:t xml:space="preserve">10.1093/bib/bbx108</w:t>
        </w:r>
      </w:hyperlink>
    </w:p>
    <w:bookmarkEnd w:id="139"/>
    <w:bookmarkStart w:id="14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0">
        <w:r>
          <w:rPr>
            <w:rStyle w:val="Hyperlink"/>
          </w:rPr>
          <w:t xml:space="preserve">10.1016/j.biortech.2020.123700</w:t>
        </w:r>
      </w:hyperlink>
    </w:p>
    <w:bookmarkEnd w:id="141"/>
    <w:bookmarkStart w:id="14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2">
        <w:r>
          <w:rPr>
            <w:rStyle w:val="Hyperlink"/>
          </w:rPr>
          <w:t xml:space="preserve">10.1016/S0005-2728(98)00135-2</w:t>
        </w:r>
      </w:hyperlink>
    </w:p>
    <w:bookmarkEnd w:id="143"/>
    <w:bookmarkStart w:id="145"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4">
        <w:r>
          <w:rPr>
            <w:rStyle w:val="Hyperlink"/>
          </w:rPr>
          <w:t xml:space="preserve">10.1038/s41598-021-91106-5</w:t>
        </w:r>
      </w:hyperlink>
    </w:p>
    <w:bookmarkEnd w:id="145"/>
    <w:bookmarkStart w:id="146"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6"/>
    <w:bookmarkStart w:id="148" w:name="X0484b3dfebfaa14160c541e1fe2290095bae149"/>
    <w:p>
      <w:pPr>
        <w:pStyle w:val="Bibliography"/>
      </w:pPr>
      <w:r>
        <w:t xml:space="preserve">LaRoche, J., and B. M. Robicheau. 2022.</w:t>
      </w:r>
      <w:r>
        <w:t xml:space="preserve"> </w:t>
      </w:r>
      <w:hyperlink r:id="rId147">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8"/>
    <w:bookmarkStart w:id="150"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9">
        <w:r>
          <w:rPr>
            <w:rStyle w:val="Hyperlink"/>
          </w:rPr>
          <w:t xml:space="preserve">10.1111/jpy.12483</w:t>
        </w:r>
      </w:hyperlink>
    </w:p>
    <w:bookmarkEnd w:id="150"/>
    <w:bookmarkStart w:id="15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1">
        <w:r>
          <w:rPr>
            <w:rStyle w:val="Hyperlink"/>
          </w:rPr>
          <w:t xml:space="preserve">10.1093/plankt/fbv008</w:t>
        </w:r>
      </w:hyperlink>
    </w:p>
    <w:bookmarkEnd w:id="152"/>
    <w:bookmarkStart w:id="154" w:name="X1fa63fd480d0916fa60113cb089a7102c347762"/>
    <w:p>
      <w:pPr>
        <w:pStyle w:val="Bibliography"/>
      </w:pPr>
      <w:r>
        <w:t xml:space="preserve">Li, W. K. W. 1995.</w:t>
      </w:r>
      <w:r>
        <w:t xml:space="preserve"> </w:t>
      </w:r>
      <w:hyperlink r:id="rId15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4"/>
    <w:bookmarkStart w:id="15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5"/>
    <w:bookmarkStart w:id="157"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6">
        <w:r>
          <w:rPr>
            <w:rStyle w:val="Hyperlink"/>
          </w:rPr>
          <w:t xml:space="preserve">10.1073/pnas.0810891106</w:t>
        </w:r>
      </w:hyperlink>
    </w:p>
    <w:bookmarkEnd w:id="157"/>
    <w:bookmarkStart w:id="159"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8">
        <w:r>
          <w:rPr>
            <w:rStyle w:val="Hyperlink"/>
          </w:rPr>
          <w:t xml:space="preserve">10.1038/s41598-022-07009-6</w:t>
        </w:r>
      </w:hyperlink>
    </w:p>
    <w:bookmarkEnd w:id="159"/>
    <w:bookmarkStart w:id="161"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0">
        <w:r>
          <w:rPr>
            <w:rStyle w:val="Hyperlink"/>
          </w:rPr>
          <w:t xml:space="preserve">10.1016/S1360-1385(99)01504-6</w:t>
        </w:r>
      </w:hyperlink>
    </w:p>
    <w:bookmarkEnd w:id="161"/>
    <w:bookmarkStart w:id="16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2">
        <w:r>
          <w:rPr>
            <w:rStyle w:val="Hyperlink"/>
          </w:rPr>
          <w:t xml:space="preserve">10.1093/jxb/erx137</w:t>
        </w:r>
      </w:hyperlink>
    </w:p>
    <w:bookmarkEnd w:id="163"/>
    <w:bookmarkStart w:id="16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4">
        <w:r>
          <w:rPr>
            <w:rStyle w:val="Hyperlink"/>
          </w:rPr>
          <w:t xml:space="preserve">10.1016/0146-6291(78)90623-9</w:t>
        </w:r>
      </w:hyperlink>
    </w:p>
    <w:bookmarkEnd w:id="165"/>
    <w:bookmarkStart w:id="16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6">
        <w:r>
          <w:rPr>
            <w:rStyle w:val="Hyperlink"/>
          </w:rPr>
          <w:t xml:space="preserve">10.1029/JC093iC09p10749</w:t>
        </w:r>
      </w:hyperlink>
    </w:p>
    <w:bookmarkEnd w:id="167"/>
    <w:bookmarkStart w:id="169"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8">
        <w:r>
          <w:rPr>
            <w:rStyle w:val="Hyperlink"/>
          </w:rPr>
          <w:t xml:space="preserve">10.1023/A:1005936823310</w:t>
        </w:r>
      </w:hyperlink>
    </w:p>
    <w:bookmarkEnd w:id="169"/>
    <w:bookmarkStart w:id="17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0">
        <w:r>
          <w:rPr>
            <w:rStyle w:val="Hyperlink"/>
          </w:rPr>
          <w:t xml:space="preserve">10.4319/lom.2012.10.142</w:t>
        </w:r>
      </w:hyperlink>
    </w:p>
    <w:bookmarkEnd w:id="171"/>
    <w:bookmarkStart w:id="17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2"/>
    <w:bookmarkStart w:id="17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3">
        <w:r>
          <w:rPr>
            <w:rStyle w:val="Hyperlink"/>
          </w:rPr>
          <w:t xml:space="preserve">10.4319/lo.1991.36.7.1457</w:t>
        </w:r>
      </w:hyperlink>
    </w:p>
    <w:bookmarkEnd w:id="174"/>
    <w:bookmarkStart w:id="176" w:name="ref-posit"/>
    <w:p>
      <w:pPr>
        <w:pStyle w:val="Bibliography"/>
      </w:pPr>
      <w:r>
        <w:t xml:space="preserve">Posit team. 2022.</w:t>
      </w:r>
      <w:r>
        <w:t xml:space="preserve"> </w:t>
      </w:r>
      <w:hyperlink r:id="rId175">
        <w:r>
          <w:rPr>
            <w:rStyle w:val="Hyperlink"/>
          </w:rPr>
          <w:t xml:space="preserve">RStudio: Integrated development environment for r</w:t>
        </w:r>
      </w:hyperlink>
      <w:r>
        <w:t xml:space="preserve">, Posit Software, PBC.</w:t>
      </w:r>
    </w:p>
    <w:bookmarkEnd w:id="176"/>
    <w:bookmarkStart w:id="178" w:name="ref-rcore"/>
    <w:p>
      <w:pPr>
        <w:pStyle w:val="Bibliography"/>
      </w:pPr>
      <w:r>
        <w:t xml:space="preserve">R Core Team. 2023.</w:t>
      </w:r>
      <w:r>
        <w:t xml:space="preserve"> </w:t>
      </w:r>
      <w:hyperlink r:id="rId177">
        <w:r>
          <w:rPr>
            <w:rStyle w:val="Hyperlink"/>
          </w:rPr>
          <w:t xml:space="preserve">R: A language and environment for statistical computing</w:t>
        </w:r>
      </w:hyperlink>
      <w:r>
        <w:t xml:space="preserve">, R Foundation for Statistical Computing.</w:t>
      </w:r>
    </w:p>
    <w:bookmarkEnd w:id="178"/>
    <w:bookmarkStart w:id="179"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9"/>
    <w:bookmarkStart w:id="180" w:name="ref-ryanXtsEXtensibleTime2024"/>
    <w:p>
      <w:pPr>
        <w:pStyle w:val="Bibliography"/>
      </w:pPr>
      <w:r>
        <w:t xml:space="preserve">Ryan, J. A., J. M. Ulrich, R. Bennett, and C. Joy. 2024. Xts:</w:t>
      </w:r>
      <w:r>
        <w:t xml:space="preserve"> </w:t>
      </w:r>
      <w:r>
        <w:t xml:space="preserve">eXtensible Time Series</w:t>
      </w:r>
      <w:r>
        <w:t xml:space="preserve">.</w:t>
      </w:r>
    </w:p>
    <w:bookmarkEnd w:id="180"/>
    <w:bookmarkStart w:id="182"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1">
        <w:r>
          <w:rPr>
            <w:rStyle w:val="Hyperlink"/>
          </w:rPr>
          <w:t xml:space="preserve">10.1104/pp.119.2.785</w:t>
        </w:r>
      </w:hyperlink>
    </w:p>
    <w:bookmarkEnd w:id="182"/>
    <w:bookmarkStart w:id="18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3">
        <w:r>
          <w:rPr>
            <w:rStyle w:val="Hyperlink"/>
          </w:rPr>
          <w:t xml:space="preserve">10.1007/s11120-016-0329-8</w:t>
        </w:r>
      </w:hyperlink>
    </w:p>
    <w:bookmarkEnd w:id="184"/>
    <w:bookmarkStart w:id="185" w:name="ref-serwayModernPhysics2004"/>
    <w:p>
      <w:pPr>
        <w:pStyle w:val="Bibliography"/>
      </w:pPr>
      <w:r>
        <w:t xml:space="preserve">Serway, R. A., C. J. Moses, and C. A. Moyer. 2004. Modern</w:t>
      </w:r>
      <w:r>
        <w:t xml:space="preserve"> </w:t>
      </w:r>
      <w:r>
        <w:t xml:space="preserve">Physics</w:t>
      </w:r>
      <w:r>
        <w:t xml:space="preserve">, Cengage Learning.</w:t>
      </w:r>
    </w:p>
    <w:bookmarkEnd w:id="185"/>
    <w:bookmarkStart w:id="187"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6">
        <w:r>
          <w:rPr>
            <w:rStyle w:val="Hyperlink"/>
          </w:rPr>
          <w:t xml:space="preserve">10.1371/journal.pone.0001341</w:t>
        </w:r>
      </w:hyperlink>
    </w:p>
    <w:bookmarkEnd w:id="187"/>
    <w:bookmarkStart w:id="189"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8">
        <w:r>
          <w:rPr>
            <w:rStyle w:val="Hyperlink"/>
          </w:rPr>
          <w:t xml:space="preserve">10.1073/pnas.2111300118</w:t>
        </w:r>
      </w:hyperlink>
    </w:p>
    <w:bookmarkEnd w:id="189"/>
    <w:bookmarkStart w:id="19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0">
        <w:r>
          <w:rPr>
            <w:rStyle w:val="Hyperlink"/>
          </w:rPr>
          <w:t xml:space="preserve">10.5194/bg-15-6257-2018</w:t>
        </w:r>
      </w:hyperlink>
    </w:p>
    <w:bookmarkEnd w:id="191"/>
    <w:bookmarkStart w:id="193"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2">
        <w:r>
          <w:rPr>
            <w:rStyle w:val="Hyperlink"/>
          </w:rPr>
          <w:t xml:space="preserve">10.3390/cells9092030</w:t>
        </w:r>
      </w:hyperlink>
    </w:p>
    <w:bookmarkEnd w:id="193"/>
    <w:bookmarkStart w:id="195"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4">
        <w:r>
          <w:rPr>
            <w:rStyle w:val="Hyperlink"/>
          </w:rPr>
          <w:t xml:space="preserve">10.3390/toxins10010048</w:t>
        </w:r>
      </w:hyperlink>
    </w:p>
    <w:bookmarkEnd w:id="195"/>
    <w:bookmarkStart w:id="19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6">
        <w:r>
          <w:rPr>
            <w:rStyle w:val="Hyperlink"/>
          </w:rPr>
          <w:t xml:space="preserve">10.1134/S0026261715020150</w:t>
        </w:r>
      </w:hyperlink>
    </w:p>
    <w:bookmarkEnd w:id="197"/>
    <w:bookmarkStart w:id="199"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8">
        <w:r>
          <w:rPr>
            <w:rStyle w:val="Hyperlink"/>
          </w:rPr>
          <w:t xml:space="preserve">10.1111/j.1461-0248.2007.01026.x</w:t>
        </w:r>
      </w:hyperlink>
    </w:p>
    <w:bookmarkEnd w:id="199"/>
    <w:bookmarkStart w:id="201"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0">
        <w:r>
          <w:rPr>
            <w:rStyle w:val="Hyperlink"/>
          </w:rPr>
          <w:t xml:space="preserve">DOI: http://dx.doi.org/10.25607/OBP-1791</w:t>
        </w:r>
      </w:hyperlink>
    </w:p>
    <w:bookmarkEnd w:id="201"/>
    <w:bookmarkStart w:id="203"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2">
        <w:r>
          <w:rPr>
            <w:rStyle w:val="Hyperlink"/>
          </w:rPr>
          <w:t xml:space="preserve">10.1111/oik.08839</w:t>
        </w:r>
      </w:hyperlink>
    </w:p>
    <w:bookmarkEnd w:id="203"/>
    <w:bookmarkStart w:id="205"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4">
        <w:r>
          <w:rPr>
            <w:rStyle w:val="Hyperlink"/>
          </w:rPr>
          <w:t xml:space="preserve">10.1111/j.1365-2427.2008.02119.x</w:t>
        </w:r>
      </w:hyperlink>
    </w:p>
    <w:bookmarkEnd w:id="205"/>
    <w:bookmarkStart w:id="206" w:name="ref-tortellUserGuideApplication2021"/>
    <w:p>
      <w:pPr>
        <w:pStyle w:val="Bibliography"/>
      </w:pPr>
      <w:r>
        <w:t xml:space="preserve">Tortell, P., and D. J. Suggett. 2021.</w:t>
      </w:r>
      <w:r>
        <w:t xml:space="preserve"> </w:t>
      </w:r>
      <w:hyperlink r:id="rId97">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6"/>
    <w:bookmarkStart w:id="208"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7">
        <w:r>
          <w:rPr>
            <w:rStyle w:val="Hyperlink"/>
          </w:rPr>
          <w:t xml:space="preserve">10.1002/biot.201700764</w:t>
        </w:r>
      </w:hyperlink>
    </w:p>
    <w:bookmarkEnd w:id="208"/>
    <w:bookmarkStart w:id="20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9"/>
    <w:bookmarkStart w:id="210"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0"/>
    <w:bookmarkStart w:id="212" w:name="ref-wickhamDataAnalysis2016"/>
    <w:p>
      <w:pPr>
        <w:pStyle w:val="Bibliography"/>
      </w:pPr>
      <w:r>
        <w:t xml:space="preserve">Wickham, H. 2016.</w:t>
      </w:r>
      <w:r>
        <w:t xml:space="preserve"> </w:t>
      </w:r>
      <w:hyperlink r:id="rId21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2"/>
    <w:bookmarkStart w:id="214" w:name="ref-woodGeneralizedAdditiveModels2017"/>
    <w:p>
      <w:pPr>
        <w:pStyle w:val="Bibliography"/>
      </w:pPr>
      <w:r>
        <w:t xml:space="preserve">Wood, S. N. 2017.</w:t>
      </w:r>
      <w:r>
        <w:t xml:space="preserve"> </w:t>
      </w:r>
      <w:hyperlink r:id="rId21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4"/>
    <w:bookmarkStart w:id="21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5">
        <w:r>
          <w:rPr>
            <w:rStyle w:val="Hyperlink"/>
          </w:rPr>
          <w:t xml:space="preserve">10.1016/j.rse.2020.111704</w:t>
        </w:r>
      </w:hyperlink>
    </w:p>
    <w:bookmarkEnd w:id="216"/>
    <w:bookmarkStart w:id="21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7">
        <w:r>
          <w:rPr>
            <w:rStyle w:val="Hyperlink"/>
          </w:rPr>
          <w:t xml:space="preserve">10.1016/j.bbabio.2017.03.003</w:t>
        </w:r>
      </w:hyperlink>
    </w:p>
    <w:bookmarkEnd w:id="218"/>
    <w:bookmarkStart w:id="22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19">
        <w:r>
          <w:rPr>
            <w:rStyle w:val="Hyperlink"/>
          </w:rPr>
          <w:t xml:space="preserve">10.3389/fmars.2018.00281</w:t>
        </w:r>
      </w:hyperlink>
    </w:p>
    <w:bookmarkEnd w:id="220"/>
    <w:bookmarkEnd w:id="221"/>
    <w:bookmarkEnd w:id="222"/>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72" Target="media/rId72.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2024-04-30T22:05:30Z</dcterms:created>
  <dcterms:modified xsi:type="dcterms:W3CDTF">2024-04-30T22:05:30Z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